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文件编号：WI-QC-005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量具使用作业指导书</w:t>
      </w:r>
    </w:p>
    <w:p/>
    <w:p>
      <w:pPr>
        <w:pStyle w:val="Heading1"/>
      </w:pPr>
      <w:r>
        <w:t>1. 目的</w:t>
      </w:r>
    </w:p>
    <w:p>
      <w:r>
        <w:t>规范量具使用，确保测量准确。</w:t>
      </w:r>
    </w:p>
    <w:p/>
    <w:p>
      <w:pPr>
        <w:pStyle w:val="Heading1"/>
      </w:pPr>
      <w:r>
        <w:t>2. 范围</w:t>
      </w:r>
    </w:p>
    <w:p>
      <w:r>
        <w:t>适用于所有测量工具的使用。</w:t>
      </w:r>
    </w:p>
    <w:p/>
    <w:p>
      <w:pPr>
        <w:pStyle w:val="Heading1"/>
      </w:pPr>
      <w:r>
        <w:t>3. 使用前检查</w:t>
      </w:r>
    </w:p>
    <w:p>
      <w:pPr>
        <w:pStyle w:val="ListBullet"/>
      </w:pPr>
      <w:r>
        <w:t>检查校准标签是否在有效期</w:t>
      </w:r>
    </w:p>
    <w:p>
      <w:pPr>
        <w:pStyle w:val="ListBullet"/>
      </w:pPr>
      <w:r>
        <w:t>检查量具是否完好</w:t>
      </w:r>
    </w:p>
    <w:p>
      <w:pPr>
        <w:pStyle w:val="ListBullet"/>
      </w:pPr>
      <w:r>
        <w:t>清洁量具测量面</w:t>
      </w:r>
    </w:p>
    <w:p/>
    <w:p>
      <w:pPr>
        <w:pStyle w:val="Heading1"/>
      </w:pPr>
      <w:r>
        <w:t>4. 使用要求</w:t>
      </w:r>
    </w:p>
    <w:p>
      <w:pPr>
        <w:pStyle w:val="ListBullet"/>
      </w:pPr>
      <w:r>
        <w:t>轻拿轻放，防止磕碰</w:t>
      </w:r>
    </w:p>
    <w:p>
      <w:pPr>
        <w:pStyle w:val="ListBullet"/>
      </w:pPr>
      <w:r>
        <w:t>测量前校零</w:t>
      </w:r>
    </w:p>
    <w:p>
      <w:pPr>
        <w:pStyle w:val="ListBullet"/>
      </w:pPr>
      <w:r>
        <w:t>读数时视线垂直</w:t>
      </w:r>
    </w:p>
    <w:p>
      <w:pPr>
        <w:pStyle w:val="ListBullet"/>
      </w:pPr>
      <w:r>
        <w:t>使用后清洁归位</w:t>
      </w:r>
    </w:p>
    <w:p/>
    <w:p>
      <w:pPr>
        <w:pStyle w:val="Heading1"/>
      </w:pPr>
      <w:r>
        <w:t>5. 常用量具</w:t>
      </w:r>
    </w:p>
    <w:p>
      <w:pPr>
        <w:pStyle w:val="ListBullet"/>
      </w:pPr>
      <w:r>
        <w:t>游标卡尺：测量内外径、深度</w:t>
      </w:r>
    </w:p>
    <w:p>
      <w:pPr>
        <w:pStyle w:val="ListBullet"/>
      </w:pPr>
      <w:r>
        <w:t>千分尺：精密测量</w:t>
      </w:r>
    </w:p>
    <w:p>
      <w:pPr>
        <w:pStyle w:val="ListBullet"/>
      </w:pPr>
      <w:r>
        <w:t>高度尺：测量高度</w:t>
      </w:r>
    </w:p>
    <w:p>
      <w:pPr>
        <w:pStyle w:val="ListBullet"/>
      </w:pPr>
      <w:r>
        <w:t>通止规：孔径检验</w:t>
      </w:r>
    </w:p>
    <w:p/>
    <w:p>
      <w:pPr>
        <w:pStyle w:val="Heading1"/>
      </w:pPr>
      <w:r>
        <w:t>6. 注意事项</w:t>
      </w:r>
    </w:p>
    <w:p>
      <w:pPr>
        <w:pStyle w:val="ListBullet"/>
      </w:pPr>
      <w:r>
        <w:t>量具不得与工具混放</w:t>
      </w:r>
    </w:p>
    <w:p>
      <w:pPr>
        <w:pStyle w:val="ListBullet"/>
      </w:pPr>
      <w:r>
        <w:t>定期送检校准</w:t>
      </w:r>
    </w:p>
    <w:p>
      <w:pPr>
        <w:pStyle w:val="ListBullet"/>
      </w:pPr>
      <w:r>
        <w:t>发现失准立即报告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